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C9F" w:rsidRPr="004D3338" w:rsidRDefault="00DC3C9F" w:rsidP="00DC3C9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4D3338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4D3338">
        <w:rPr>
          <w:rFonts w:ascii="Times New Roman" w:hAnsi="Times New Roman" w:cs="Times New Roman"/>
          <w:bCs/>
          <w:sz w:val="28"/>
          <w:szCs w:val="28"/>
        </w:rPr>
        <w:br/>
        <w:t>к государственной программе</w:t>
      </w:r>
      <w:r w:rsidRPr="004D3338">
        <w:rPr>
          <w:rFonts w:ascii="Times New Roman" w:hAnsi="Times New Roman" w:cs="Times New Roman"/>
          <w:bCs/>
          <w:sz w:val="28"/>
          <w:szCs w:val="28"/>
        </w:rPr>
        <w:br/>
        <w:t>"Развитие топливно-энергетического</w:t>
      </w:r>
      <w:r w:rsidRPr="004D3338">
        <w:rPr>
          <w:rFonts w:ascii="Times New Roman" w:hAnsi="Times New Roman" w:cs="Times New Roman"/>
          <w:bCs/>
          <w:sz w:val="28"/>
          <w:szCs w:val="28"/>
        </w:rPr>
        <w:br/>
        <w:t>комплекса и жилищно-коммунального</w:t>
      </w:r>
      <w:r w:rsidRPr="004D3338">
        <w:rPr>
          <w:rFonts w:ascii="Times New Roman" w:hAnsi="Times New Roman" w:cs="Times New Roman"/>
          <w:bCs/>
          <w:sz w:val="28"/>
          <w:szCs w:val="28"/>
        </w:rPr>
        <w:br/>
        <w:t>хозяйства Брянской области"</w:t>
      </w:r>
    </w:p>
    <w:p w:rsidR="00DC3C9F" w:rsidRPr="004D3338" w:rsidRDefault="00DC3C9F" w:rsidP="00DC3C9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C3C9F" w:rsidRDefault="00DC3C9F" w:rsidP="00984671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</w:p>
    <w:p w:rsidR="00984671" w:rsidRPr="00DC3C9F" w:rsidRDefault="00984671" w:rsidP="00984671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4"/>
        </w:rPr>
      </w:pPr>
      <w:r w:rsidRPr="00DC3C9F">
        <w:rPr>
          <w:rFonts w:ascii="Times New Roman" w:hAnsi="Times New Roman" w:cs="Times New Roman"/>
          <w:bCs/>
          <w:color w:val="000000" w:themeColor="text1"/>
          <w:sz w:val="28"/>
          <w:szCs w:val="24"/>
        </w:rPr>
        <w:t>Методика расчета показателей.</w:t>
      </w:r>
    </w:p>
    <w:p w:rsidR="00984671" w:rsidRPr="00DC3C9F" w:rsidRDefault="00984671" w:rsidP="00984671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4"/>
        </w:rPr>
      </w:pPr>
    </w:p>
    <w:p w:rsidR="00984671" w:rsidRPr="00DC3C9F" w:rsidRDefault="00984671" w:rsidP="00984671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4"/>
        </w:rPr>
      </w:pPr>
      <w:r w:rsidRPr="00DC3C9F">
        <w:rPr>
          <w:rFonts w:ascii="Times New Roman" w:hAnsi="Times New Roman" w:cs="Times New Roman"/>
          <w:bCs/>
          <w:color w:val="000000" w:themeColor="text1"/>
          <w:sz w:val="28"/>
          <w:szCs w:val="24"/>
        </w:rPr>
        <w:t>Показатели (индикаторы) государственной программы.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</w:p>
    <w:p w:rsidR="00984671" w:rsidRPr="00BA3E25" w:rsidRDefault="00984671" w:rsidP="00984671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before="108" w:after="108" w:line="240" w:lineRule="auto"/>
        <w:ind w:left="0" w:firstLine="709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bCs/>
          <w:color w:val="000000" w:themeColor="text1"/>
          <w:sz w:val="28"/>
          <w:szCs w:val="24"/>
        </w:rPr>
        <w:t>Показатель «Выполнение мероприятий государственной программы «Развитие топливно-энергетического комплекса и жилищно-коммунального хозяйства»»,% определяется на основании данных постоянного мониторинга фактического исполнения показателей основных мероприятий государственной программы:</w:t>
      </w:r>
    </w:p>
    <w:p w:rsidR="00984671" w:rsidRPr="00BA3E25" w:rsidRDefault="00984671" w:rsidP="00984671">
      <w:pPr>
        <w:pStyle w:val="a3"/>
        <w:widowControl w:val="0"/>
        <w:autoSpaceDE w:val="0"/>
        <w:autoSpaceDN w:val="0"/>
        <w:adjustRightInd w:val="0"/>
        <w:spacing w:before="108" w:after="108" w:line="240" w:lineRule="auto"/>
        <w:ind w:left="709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4"/>
        </w:rPr>
      </w:pPr>
    </w:p>
    <w:p w:rsidR="00984671" w:rsidRDefault="00984671" w:rsidP="00984671">
      <w:pPr>
        <w:pStyle w:val="a3"/>
        <w:widowControl w:val="0"/>
        <w:autoSpaceDE w:val="0"/>
        <w:autoSpaceDN w:val="0"/>
        <w:adjustRightInd w:val="0"/>
        <w:spacing w:before="108" w:after="108" w:line="240" w:lineRule="auto"/>
        <w:ind w:left="709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bCs/>
          <w:color w:val="000000" w:themeColor="text1"/>
          <w:sz w:val="28"/>
          <w:szCs w:val="24"/>
        </w:rPr>
        <w:t>ВМ=(Сумм Писп/СуммПвсего)*100, где</w:t>
      </w:r>
    </w:p>
    <w:p w:rsidR="00984671" w:rsidRPr="00BA3E25" w:rsidRDefault="00984671" w:rsidP="00984671">
      <w:pPr>
        <w:pStyle w:val="a3"/>
        <w:widowControl w:val="0"/>
        <w:autoSpaceDE w:val="0"/>
        <w:autoSpaceDN w:val="0"/>
        <w:adjustRightInd w:val="0"/>
        <w:spacing w:before="108" w:after="108" w:line="240" w:lineRule="auto"/>
        <w:ind w:left="709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4"/>
        </w:rPr>
      </w:pP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bCs/>
          <w:color w:val="000000" w:themeColor="text1"/>
          <w:sz w:val="28"/>
          <w:szCs w:val="24"/>
        </w:rPr>
        <w:t>ВМ- уровень выполнения основных мероприятий государственной программы, (%);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bCs/>
          <w:color w:val="000000" w:themeColor="text1"/>
          <w:sz w:val="28"/>
          <w:szCs w:val="24"/>
        </w:rPr>
        <w:t>Сумм Писп – количество исполненных основных мероприятий программы, (единиц);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bCs/>
          <w:color w:val="000000" w:themeColor="text1"/>
          <w:sz w:val="28"/>
          <w:szCs w:val="24"/>
        </w:rPr>
        <w:t>СуммПвсего – общее количество основных мероприятий государственной программы, (единиц).</w:t>
      </w:r>
    </w:p>
    <w:p w:rsidR="00984671" w:rsidRDefault="00984671" w:rsidP="00984671">
      <w:pPr>
        <w:widowControl w:val="0"/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4"/>
        </w:rPr>
      </w:pP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4"/>
        </w:rPr>
      </w:pPr>
    </w:p>
    <w:p w:rsidR="00984671" w:rsidRPr="00DC3C9F" w:rsidRDefault="00984671" w:rsidP="00984671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4"/>
        </w:rPr>
      </w:pPr>
      <w:r w:rsidRPr="00DC3C9F">
        <w:rPr>
          <w:rFonts w:ascii="Times New Roman" w:hAnsi="Times New Roman" w:cs="Times New Roman"/>
          <w:bCs/>
          <w:color w:val="000000" w:themeColor="text1"/>
          <w:sz w:val="28"/>
          <w:szCs w:val="24"/>
        </w:rPr>
        <w:t>Показатели (индикаторы) основных мероприятий (проектов (программ)).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</w:p>
    <w:p w:rsidR="00984671" w:rsidRPr="008C6BE6" w:rsidRDefault="00984671" w:rsidP="00984671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bookmarkStart w:id="1" w:name="sub_30101"/>
      <w:r w:rsidRPr="008C6BE6">
        <w:rPr>
          <w:rFonts w:ascii="Times New Roman" w:hAnsi="Times New Roman" w:cs="Times New Roman"/>
          <w:color w:val="000000" w:themeColor="text1"/>
          <w:sz w:val="28"/>
          <w:szCs w:val="24"/>
        </w:rPr>
        <w:t>Показатель "Ввод мощностей в результате технического перевооружения, реконструкции, нового строительства объектов электросетевой инфраструктуры" определяется на основании отчетов об исполнении инвестиционных программ субъектов электроэнергетики.</w:t>
      </w:r>
    </w:p>
    <w:p w:rsidR="00984671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84671" w:rsidRPr="008C6BE6" w:rsidRDefault="00984671" w:rsidP="00984671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8C6BE6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Показатель "Доля многоквартирных домов, в которых собственники помещений выбрали и реализуют управление многоквартирными домами посредством товариществ собственников жилья, либо жилищных кооперативов" определяется на основе формы статистического наблюдения </w:t>
      </w:r>
      <w:hyperlink r:id="rId8" w:history="1">
        <w:r w:rsidRPr="008C6BE6">
          <w:rPr>
            <w:rFonts w:ascii="Times New Roman" w:hAnsi="Times New Roman" w:cs="Times New Roman"/>
            <w:color w:val="000000" w:themeColor="text1"/>
            <w:sz w:val="28"/>
            <w:szCs w:val="24"/>
          </w:rPr>
          <w:t>N 22-ЖКХ (реформа)</w:t>
        </w:r>
      </w:hyperlink>
      <w:r w:rsidRPr="008C6BE6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"Сведения о структурных преобразованиях и организационных мероприятиях в сфере жилищно-</w:t>
      </w:r>
      <w:r w:rsidRPr="008C6BE6">
        <w:rPr>
          <w:rFonts w:ascii="Times New Roman" w:hAnsi="Times New Roman" w:cs="Times New Roman"/>
          <w:color w:val="000000" w:themeColor="text1"/>
          <w:sz w:val="28"/>
          <w:szCs w:val="24"/>
        </w:rPr>
        <w:lastRenderedPageBreak/>
        <w:t xml:space="preserve">коммунального хозяйства", утвержденной </w:t>
      </w:r>
      <w:hyperlink r:id="rId9" w:history="1">
        <w:r w:rsidRPr="008C6BE6">
          <w:rPr>
            <w:rFonts w:ascii="Times New Roman" w:hAnsi="Times New Roman" w:cs="Times New Roman"/>
            <w:color w:val="000000" w:themeColor="text1"/>
            <w:sz w:val="28"/>
            <w:szCs w:val="24"/>
          </w:rPr>
          <w:t>приказом</w:t>
        </w:r>
      </w:hyperlink>
      <w:r w:rsidRPr="008C6BE6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Федеральной службы государственной статистики от 10 июля 2015 года N 305 "Об утверждении статистического инструментария для организации Минстроем России федерального статистического наблюдения за ходом реформы в жилищно-коммунальной сфере" по формуле: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Dтсж = Ктсж / Кобщ х 100, где: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Dтсж - доля многоквартирных домов, в которых собственники помещений выбрали и реализуют способ управления многоквартирными домами посредством товариществ собственников жилья, либо жилищных кооперативов, или иных специализированных потребительских кооперативов;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Ктсж - число многоквартирных домов, в которых собственники помещений выбрали и реализуют способ управления многоквартирными домами посредством товариществ собственников жилья, либо жилищных кооперативов, или иных специализированных потребительских кооперативов;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Кобщ - число многоквартирных домов, в которых собственники помещений должны выбрать способ управления домами.</w:t>
      </w:r>
    </w:p>
    <w:p w:rsidR="00984671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84671" w:rsidRPr="008C6BE6" w:rsidRDefault="00984671" w:rsidP="00984671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8C6BE6">
        <w:rPr>
          <w:rFonts w:ascii="Times New Roman" w:hAnsi="Times New Roman" w:cs="Times New Roman"/>
          <w:color w:val="000000" w:themeColor="text1"/>
          <w:sz w:val="28"/>
          <w:szCs w:val="24"/>
        </w:rPr>
        <w:t>Показатель "Доля площади жилищного фонда, обеспеченного всеми видами благоустройства, в общей площади жилищного фонда" определяется на основании данных статистического бюллетеня "Жилищный фонд области (по городам и районам), по формуле:</w:t>
      </w:r>
    </w:p>
    <w:bookmarkEnd w:id="1"/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84671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Dблаг =(Sблаг/S)*100, где: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84671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Dблаг - удельный вес общей площади жилищного фонда оборудованного всеми видами благоустройства, %;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84671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Sблаг - общая площадь жилых помещений, оборудованных всеми </w:t>
      </w:r>
    </w:p>
    <w:p w:rsidR="00984671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видами благоустройства;</w:t>
      </w:r>
    </w:p>
    <w:p w:rsidR="00984671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S - общая площадь жилых помещений.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bookmarkStart w:id="2" w:name="sub_30102"/>
      <w:r>
        <w:rPr>
          <w:rFonts w:ascii="Times New Roman" w:hAnsi="Times New Roman" w:cs="Times New Roman"/>
          <w:color w:val="000000" w:themeColor="text1"/>
          <w:sz w:val="28"/>
          <w:szCs w:val="24"/>
        </w:rPr>
        <w:t>5</w:t>
      </w: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. Показатель "Предельное количество этапов (процедур), необходимых для технологического присоединения" определяется следующим образом.</w:t>
      </w:r>
    </w:p>
    <w:bookmarkEnd w:id="2"/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Технологическое присоединение представляет собой комплексную процедуру, этапами которой ранее являлись: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bookmarkStart w:id="3" w:name="sub_301021"/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1) подача заявки на технологическое присоединение;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bookmarkStart w:id="4" w:name="sub_301022"/>
      <w:bookmarkEnd w:id="3"/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2) заключение договора на технологическое присоединение;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bookmarkStart w:id="5" w:name="sub_301023"/>
      <w:bookmarkEnd w:id="4"/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3) выполнение сторонами договора мероприятий, предусмотренных договором;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bookmarkStart w:id="6" w:name="sub_301024"/>
      <w:bookmarkEnd w:id="5"/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4) получение разрешения Ростехнадзора на допуск в эксплуатацию объектов заявителя;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bookmarkStart w:id="7" w:name="sub_301025"/>
      <w:bookmarkEnd w:id="6"/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lastRenderedPageBreak/>
        <w:t>5) осуществление сетевой организацией фактического присоединения объектов заявителя к электрическим сетям;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bookmarkStart w:id="8" w:name="sub_301026"/>
      <w:bookmarkEnd w:id="7"/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6) фактический прием (подача) напряжения и мощности (фиксация коммутационного аппарата в положении "включено");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bookmarkStart w:id="9" w:name="sub_301027"/>
      <w:bookmarkEnd w:id="8"/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7) составление акта о технологическом присоединении и акта разграничения балансовой принадлежности и эксплуатационной ответственности.</w:t>
      </w:r>
    </w:p>
    <w:bookmarkEnd w:id="9"/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Количество этапов, необходимых для технологического присоединения, определяется исходя из перечня процедур, регламентированных следующими нормативными правовыми актами: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- </w:t>
      </w:r>
      <w:hyperlink r:id="rId10" w:history="1">
        <w:r w:rsidRPr="00BA3E25">
          <w:rPr>
            <w:rFonts w:ascii="Times New Roman" w:hAnsi="Times New Roman" w:cs="Times New Roman"/>
            <w:color w:val="000000" w:themeColor="text1"/>
            <w:sz w:val="28"/>
            <w:szCs w:val="24"/>
          </w:rPr>
          <w:t>Федеральным законом</w:t>
        </w:r>
      </w:hyperlink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от 26 марта 2003 года N 35-ФЗ "Об электроэнергетике";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- </w:t>
      </w:r>
      <w:hyperlink r:id="rId11" w:history="1">
        <w:r w:rsidRPr="00BA3E25">
          <w:rPr>
            <w:rFonts w:ascii="Times New Roman" w:hAnsi="Times New Roman" w:cs="Times New Roman"/>
            <w:color w:val="000000" w:themeColor="text1"/>
            <w:sz w:val="28"/>
            <w:szCs w:val="24"/>
          </w:rPr>
          <w:t>Правилами</w:t>
        </w:r>
      </w:hyperlink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 к электрическим сетям, утвержденными </w:t>
      </w:r>
      <w:hyperlink r:id="rId12" w:history="1">
        <w:r w:rsidRPr="00BA3E25">
          <w:rPr>
            <w:rFonts w:ascii="Times New Roman" w:hAnsi="Times New Roman" w:cs="Times New Roman"/>
            <w:color w:val="000000" w:themeColor="text1"/>
            <w:sz w:val="28"/>
            <w:szCs w:val="24"/>
          </w:rPr>
          <w:t>постановлением</w:t>
        </w:r>
      </w:hyperlink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Правительства Российской Федерации от 27.12.2004 N 861 (далее - Правила технологического присоединения);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- Постановлениями Правительства Российской Федерации </w:t>
      </w:r>
      <w:hyperlink r:id="rId13" w:history="1">
        <w:r w:rsidRPr="00BA3E25">
          <w:rPr>
            <w:rFonts w:ascii="Times New Roman" w:hAnsi="Times New Roman" w:cs="Times New Roman"/>
            <w:color w:val="000000" w:themeColor="text1"/>
            <w:sz w:val="28"/>
            <w:szCs w:val="24"/>
          </w:rPr>
          <w:t>от 22 октября 2012 года N 1075</w:t>
        </w:r>
      </w:hyperlink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"О ценообразовании в сфере теплоснабжения" и </w:t>
      </w:r>
      <w:hyperlink r:id="rId14" w:history="1">
        <w:r w:rsidRPr="00BA3E25">
          <w:rPr>
            <w:rFonts w:ascii="Times New Roman" w:hAnsi="Times New Roman" w:cs="Times New Roman"/>
            <w:color w:val="000000" w:themeColor="text1"/>
            <w:sz w:val="28"/>
            <w:szCs w:val="24"/>
          </w:rPr>
          <w:t>от 29 декабря 2011 года N 1178</w:t>
        </w:r>
      </w:hyperlink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"О ценообразовании в области регулируемых цен (тарифов) в электроэнергетике";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- </w:t>
      </w:r>
      <w:hyperlink r:id="rId15" w:history="1">
        <w:r w:rsidRPr="00BA3E25">
          <w:rPr>
            <w:rFonts w:ascii="Times New Roman" w:hAnsi="Times New Roman" w:cs="Times New Roman"/>
            <w:color w:val="000000" w:themeColor="text1"/>
            <w:sz w:val="28"/>
            <w:szCs w:val="24"/>
          </w:rPr>
          <w:t>Методическими указаниями</w:t>
        </w:r>
      </w:hyperlink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по определению размера платы за технологическое присоединение к электрическим сетям, утвержденными </w:t>
      </w:r>
      <w:hyperlink r:id="rId16" w:history="1">
        <w:r w:rsidRPr="00BA3E25">
          <w:rPr>
            <w:rFonts w:ascii="Times New Roman" w:hAnsi="Times New Roman" w:cs="Times New Roman"/>
            <w:color w:val="000000" w:themeColor="text1"/>
            <w:sz w:val="28"/>
            <w:szCs w:val="24"/>
          </w:rPr>
          <w:t>приказом</w:t>
        </w:r>
      </w:hyperlink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Федеральной антимонопольной службы от 29.08.2017 года N 1135/17;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- </w:t>
      </w:r>
      <w:hyperlink r:id="rId17" w:history="1">
        <w:r w:rsidRPr="00BA3E25">
          <w:rPr>
            <w:rFonts w:ascii="Times New Roman" w:hAnsi="Times New Roman" w:cs="Times New Roman"/>
            <w:color w:val="000000" w:themeColor="text1"/>
            <w:sz w:val="28"/>
            <w:szCs w:val="24"/>
          </w:rPr>
          <w:t>Стандартами</w:t>
        </w:r>
      </w:hyperlink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раскрытия информации субъектами оптового и розничных рынков электрической энергии, утвержденными </w:t>
      </w:r>
      <w:hyperlink r:id="rId18" w:history="1">
        <w:r w:rsidRPr="00BA3E25">
          <w:rPr>
            <w:rFonts w:ascii="Times New Roman" w:hAnsi="Times New Roman" w:cs="Times New Roman"/>
            <w:color w:val="000000" w:themeColor="text1"/>
            <w:sz w:val="28"/>
            <w:szCs w:val="24"/>
          </w:rPr>
          <w:t>постановлением</w:t>
        </w:r>
      </w:hyperlink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Правительства Российской Федерации от 21.01.2004 N 24.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В соответствии с изменениями, предусмотренными вышеперечисленными нормативно-правовыми актами, с 2017 года технологическое присоединение представляет собой комплексную процедуру, состоящую из четырех этапов, а именно: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bookmarkStart w:id="10" w:name="sub_300121"/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1) подача заявки на технологическое присоединение;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bookmarkStart w:id="11" w:name="sub_300122"/>
      <w:bookmarkEnd w:id="10"/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2) заключение договора на технологическое присоединение;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bookmarkStart w:id="12" w:name="sub_300123"/>
      <w:bookmarkEnd w:id="11"/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3) выполнение сторонами договора мероприятий, предусмотренных договором;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bookmarkStart w:id="13" w:name="sub_300124"/>
      <w:bookmarkEnd w:id="12"/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4) подписание актов о технологическом присоединении.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bookmarkStart w:id="14" w:name="sub_30103"/>
      <w:bookmarkEnd w:id="13"/>
      <w:r>
        <w:rPr>
          <w:rFonts w:ascii="Times New Roman" w:hAnsi="Times New Roman" w:cs="Times New Roman"/>
          <w:color w:val="000000" w:themeColor="text1"/>
          <w:sz w:val="28"/>
          <w:szCs w:val="24"/>
        </w:rPr>
        <w:t>6</w:t>
      </w: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. Показатель "Предельный срок подключения потребителей (до 150 кВт) с даты поступления заявки на технологическое присоединение до даты подписания акта о технологическом присоединении" определяется как среднее арифметическое сроков подключения по всем заявкам на осуществление технологического присоединения, поступившим в сетевую организацию за отчетный период.</w:t>
      </w:r>
    </w:p>
    <w:p w:rsidR="00984671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bookmarkStart w:id="15" w:name="sub_30104"/>
      <w:bookmarkEnd w:id="14"/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4"/>
        </w:rPr>
        <w:t>7</w:t>
      </w: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. </w:t>
      </w:r>
      <w:bookmarkStart w:id="16" w:name="sub_30109"/>
      <w:bookmarkEnd w:id="15"/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Показатель "Доля отремонтированных объектов коммунальной инфраструктуры в общем объеме объектов коммунальной инфраструктуры, запланированных к ремонту за счет средств субсидии из областного бюджета в текущем финансовом году" определяется по формуле:</w:t>
      </w:r>
    </w:p>
    <w:bookmarkEnd w:id="16"/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D = Котр./Кплан * 100, где: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D - доля отремонтированных объектов коммунальной инфраструктуры в общем объеме объектов коммунальной инфраструктуры, запланированных к ремонту за счет средств субсидии в текущем финансовом году;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Котр. - количество отремонтированных объектов коммунальной инфраструктуры;</w:t>
      </w:r>
    </w:p>
    <w:p w:rsidR="00984671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Кплан - общее количество запланированных к ремонту объектов коммунальной инфраструктуры за счет средств субсидии в текущем финансовом году.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8. </w:t>
      </w: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Показатель "Доля площади отремонтированных многоквартирных домов в площади многоквартирных домов, нуждающихся в ремонте" определяется на основании данных </w:t>
      </w:r>
      <w:hyperlink r:id="rId19" w:history="1">
        <w:r w:rsidRPr="00BA3E25">
          <w:rPr>
            <w:rFonts w:ascii="Times New Roman" w:hAnsi="Times New Roman" w:cs="Times New Roman"/>
            <w:color w:val="000000" w:themeColor="text1"/>
            <w:sz w:val="28"/>
            <w:szCs w:val="24"/>
          </w:rPr>
          <w:t>региональной программы</w:t>
        </w:r>
      </w:hyperlink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"Проведение капитального ремонта общего имущества многоквартирных домов на территории Брянской области (2014 - 2043 годы) и краткосрочных планов её реализации в соответствующем году по формуле: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Woтp. = Nотр. / Nобщ. х 100 (%), где: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Woтp. - доля площади отремонтированных многоквартирных домов в площади многоквартирных домов, нуждающихся в ремонте, %;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Nотр. - площадь многоквартирных домов, которые планируется отремонтировать в соответствующем году в соответствии с краткосрочным планом реализации </w:t>
      </w:r>
      <w:hyperlink r:id="rId20" w:history="1">
        <w:r w:rsidRPr="00BA3E25">
          <w:rPr>
            <w:rFonts w:ascii="Times New Roman" w:hAnsi="Times New Roman" w:cs="Times New Roman"/>
            <w:color w:val="000000" w:themeColor="text1"/>
            <w:sz w:val="28"/>
            <w:szCs w:val="24"/>
          </w:rPr>
          <w:t>региональной программы</w:t>
        </w:r>
      </w:hyperlink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"Проведение капитального ремонта общего имущества многоквартирных домов на территории Брянской области (2014 - 2043 годы), тыс. кв. м.;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Nобщ. - площадь многоквартирных домов, нуждающихся в ремонте, в соответствии с </w:t>
      </w:r>
      <w:hyperlink r:id="rId21" w:history="1">
        <w:r w:rsidRPr="00BA3E25">
          <w:rPr>
            <w:rFonts w:ascii="Times New Roman" w:hAnsi="Times New Roman" w:cs="Times New Roman"/>
            <w:color w:val="000000" w:themeColor="text1"/>
            <w:sz w:val="28"/>
            <w:szCs w:val="24"/>
          </w:rPr>
          <w:t>региональной программой</w:t>
        </w:r>
      </w:hyperlink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"Проведение капитального ремонта общего имущества многоквартирных домов на территории Брянской области (2014 - 2043 годы), тыс. кв. м.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bookmarkStart w:id="17" w:name="sub_30110"/>
      <w:r>
        <w:rPr>
          <w:rFonts w:ascii="Times New Roman" w:hAnsi="Times New Roman" w:cs="Times New Roman"/>
          <w:color w:val="000000" w:themeColor="text1"/>
          <w:sz w:val="28"/>
          <w:szCs w:val="24"/>
        </w:rPr>
        <w:t>9</w:t>
      </w: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. Показатель "Доля приобретенной специализированной техники для предприятий ЖКХ к общему количеству специализированной техники, запланированной к приобретению для предприятий ЖКХ за счет средств субсидии из областного бюджета в текущем финансовом году" определяется по формуле:</w:t>
      </w:r>
    </w:p>
    <w:bookmarkEnd w:id="17"/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D = Кпр./Кплан * 100, где: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D - доля приобретенной коммунальной техники к общему количеству </w:t>
      </w: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lastRenderedPageBreak/>
        <w:t>коммунальной техники, запланированной к приобретению за счет средств субсидии в текущем финансовом году;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Кпр. - количество приобретенной коммунальной техники;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Кплан - общее количество коммунальной техники, запланированной к приобретению за счет средств субсидии в текущем финансовом году.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bookmarkStart w:id="18" w:name="sub_30111"/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</w:t>
      </w:r>
      <w:bookmarkEnd w:id="18"/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bookmarkStart w:id="19" w:name="sub_30112"/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10. Показатель "Снижение процента потерь тепловой энергии по объектам бюджетных инвестиций ГУП "Брянсккоммунэнерго", включенным в план реализации программы" определяется по следующей формуле: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Р= 100 - Пс / Пп * 100, где: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Р - показатель, отражающий снижение потерь тепловой энергии по объектам бюджетных инвестиций ГУП "Брянсккоммунэнерго", включенным в план реализации программы;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Пс - показатель, отражающий потери тепловой энергии по объектам бюджетных инвестиций ГУП "Брянсккоммунэнерго", включенным в план реализации программы за соответствующий период;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Пп - показатель, отражающий потери тепловой энергии по объектам бюджетных инвестиций ГУП "Брянсккоммунэнерго", включенным в план реализации программы за предыдущий период.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11. </w:t>
      </w: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Показатель "Снижение удельного расхода топлива на выработку тепловой энергии по объектам бюджетных инвестиций ГУП "Брянсккоммунэнерго", включенным в план реализации программы" определяется по следующей формуле: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N= 100 - Yc/Yn * 100, где: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N - показатель, отражающий снижение удельного расхода топлива на выработку тепловой энергии по объектам бюджетных инвестиций ГУП "Брянсккоммунэнерго", включенным в план реализации программы;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Yc - показатель, отражающий удельный расход топлива за соответствующий период по объектам бюджетных инвестиций ГУП "Брянсккоммунэнерго", включенным в план реализации программы;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Yn - показатель, отражающий удельный расход топлива за предыдущий период по объектам бюджетных инвестиций ГУП "Брянсккоммунэнерго", включенным в план реализации программы.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12. </w:t>
      </w: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Показатель "Улучшение жилищных условий граждан на основе реализации </w:t>
      </w:r>
      <w:hyperlink r:id="rId22" w:history="1">
        <w:r w:rsidRPr="00BA3E25">
          <w:rPr>
            <w:rFonts w:ascii="Times New Roman" w:hAnsi="Times New Roman" w:cs="Times New Roman"/>
            <w:color w:val="000000" w:themeColor="text1"/>
            <w:sz w:val="28"/>
            <w:szCs w:val="24"/>
          </w:rPr>
          <w:t>региональной программы</w:t>
        </w:r>
      </w:hyperlink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"Проведение капитального ремонта общего имущества в многоквартирных домах на территории Брянской области" (2014 - 2043 годы), площадь отремонтированных многоквартирных домов" определяется как отношение планового объема средств из всех источников на финансирование мероприятий по проведению капитального ремонта многоквартирных домов к средней стоимости проведения капитального ремонта в расчете на один квадратный метр общей площади </w:t>
      </w: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lastRenderedPageBreak/>
        <w:t>помещений в многоквартирных домах, по формуле:</w:t>
      </w:r>
    </w:p>
    <w:bookmarkEnd w:id="19"/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noProof/>
          <w:color w:val="000000" w:themeColor="text1"/>
          <w:sz w:val="28"/>
          <w:szCs w:val="24"/>
        </w:rPr>
        <w:drawing>
          <wp:inline distT="0" distB="0" distL="0" distR="0">
            <wp:extent cx="1847850" cy="5238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, где: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Sкап. рем. - общая площадь отремонтированных многоквартирных домов, тыс. кв. м.;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Vкап.рем. - плановый объем средств из всех источников на финансирование мероприятий по проведению капитального ремонта многоквартирных домов, рублей;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С - средняя стоимость проведения капитального ремонта в расчете на один квадратный метр общей площади помещений в многоквартирных домах, рублей.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Сведения о планируемой и фактически отремонтированной общей площади многоквартирных домов размещаются в общероссийской электронной системе "Реформа ЖКХ".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bookmarkStart w:id="20" w:name="sub_30115"/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13. Показатель "Снижение объема потерь тепловой энергии в сетях" определяется по следующей формуле: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Р = 100 - Пс / Пп * 100, где: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Р - показатель, отражающий снижение потерь тепловой энергии в сетях;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Пс - показатель, отражающий потери тепловой энергии в сетях за соответствующий период;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Пп - показатель, отражающий потери тепловой энергии в сетях за соответствующий период.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14. </w:t>
      </w: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Показатель "Снижение удельного расхода газа на выработку тепловой энергии" определяется по следующей формуле:</w:t>
      </w:r>
    </w:p>
    <w:bookmarkEnd w:id="20"/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N = 100 - Yc / Yп * 100, где: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N - показатель, отражающий снижение удельного расхода газа на выработку тепловой энергии;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Yc - показатель, отражающий удельный расход газа за соответствующий период;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Yn - показатель, отражающий удельный расход газа за предыдущий период.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bookmarkStart w:id="21" w:name="sub_30116"/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5</w:t>
      </w: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. Показатель "Снижение удельного расхода электроэнергии на выработку тепловой энергии" определяется по следующей формуле:</w:t>
      </w:r>
    </w:p>
    <w:bookmarkEnd w:id="21"/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М= 100 - Vс / Vп * 100,где: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М - показатель, отражающий снижение удельного расхода </w:t>
      </w: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lastRenderedPageBreak/>
        <w:t>электроэнергии на выработку тепловой энергии;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Vc - показатель, отражающий удельный расход электроэнергии за соответствующий период;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Vn - показатель, отражающий удельный расход электроэнергии за предыдущий период.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bookmarkStart w:id="22" w:name="sub_30117"/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6</w:t>
      </w: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. </w:t>
      </w:r>
      <w:bookmarkEnd w:id="22"/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Доля выявленных при проведении проверок правонарушений, связанных с неисполнением предписаний: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Drp = Pfn / Po * 100, где: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Dpn - доля выявленных при проведении проверок правонарушений, связанных с неисполнением предписаний %;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Pfn - фактическое количество неисполненных в отчетном периоде предписаний из числа тех, которые должны были быть исполнены в отчетном периоде, ед. (данные ГЖИ Брянской области по </w:t>
      </w:r>
      <w:hyperlink r:id="rId24" w:history="1">
        <w:r w:rsidRPr="00BA3E25">
          <w:rPr>
            <w:rFonts w:ascii="Times New Roman" w:hAnsi="Times New Roman" w:cs="Times New Roman"/>
            <w:color w:val="000000" w:themeColor="text1"/>
            <w:sz w:val="28"/>
            <w:szCs w:val="24"/>
          </w:rPr>
          <w:t>форме N 1-госжилинспекция</w:t>
        </w:r>
      </w:hyperlink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);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Ро - общее количество предписаний по выявленным нарушениям, которые должны были быть исполнены в отчетном периоде, ед. (данные ГЖИ Брянской области по </w:t>
      </w:r>
      <w:hyperlink r:id="rId25" w:history="1">
        <w:r w:rsidRPr="00BA3E25">
          <w:rPr>
            <w:rFonts w:ascii="Times New Roman" w:hAnsi="Times New Roman" w:cs="Times New Roman"/>
            <w:color w:val="000000" w:themeColor="text1"/>
            <w:sz w:val="28"/>
            <w:szCs w:val="24"/>
          </w:rPr>
          <w:t>форме N 1-госжилинспекция</w:t>
        </w:r>
      </w:hyperlink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);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17. </w:t>
      </w: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Доля исполнения в отчетном периоде предписаний об устранении нарушений от общего количества предписаний, которые должны быть исполнены в отчетном периоде: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Dp = Pf / Po * 100, где: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Dp - доля исполнения в отчетном периоде предписаний об устранении нарушений от общего количества предписаний, которые должны быть исполнены в отчетном периоде, %;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Pf - фактическое количество исполненных в отчетном периоде предписаний из числа тех, которые должны были быть исполнены в отчетном периоде, ед. (данные госжилинспекции по </w:t>
      </w:r>
      <w:hyperlink r:id="rId26" w:history="1">
        <w:r w:rsidRPr="00BA3E25">
          <w:rPr>
            <w:rFonts w:ascii="Times New Roman" w:hAnsi="Times New Roman" w:cs="Times New Roman"/>
            <w:color w:val="000000" w:themeColor="text1"/>
            <w:sz w:val="28"/>
            <w:szCs w:val="24"/>
          </w:rPr>
          <w:t>форме N 1-госжилинспекция</w:t>
        </w:r>
      </w:hyperlink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);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Ро - общее количество предписаний по выявленным нарушениям, которые должны были быть исполнены в отчетном периоде, ед. (данные ГЖИ Брянской области по </w:t>
      </w:r>
      <w:hyperlink r:id="rId27" w:history="1">
        <w:r w:rsidRPr="00BA3E25">
          <w:rPr>
            <w:rFonts w:ascii="Times New Roman" w:hAnsi="Times New Roman" w:cs="Times New Roman"/>
            <w:color w:val="000000" w:themeColor="text1"/>
            <w:sz w:val="28"/>
            <w:szCs w:val="24"/>
          </w:rPr>
          <w:t>форме N 1-госжилинспекция</w:t>
        </w:r>
      </w:hyperlink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);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18. </w:t>
      </w: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Доля площади обследованных жилых домов в результате проведения плановых, внеплановых проверок к общей площади жилищного фонда области: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Ds = Sf / So * 100, где: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Ds - доля площади обследованных жилых домов в результате проведения плановых, внеплановых проверок к общей площади жилищного фонда области, %;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Sf - фактическая площадь обследованных жилых домов в результате </w:t>
      </w: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lastRenderedPageBreak/>
        <w:t xml:space="preserve">проведения плановых, внеплановых проверок за отчетный период, тыс. кв. м (данные ГЖИ Брянской области по </w:t>
      </w:r>
      <w:hyperlink r:id="rId28" w:history="1">
        <w:r w:rsidRPr="00BA3E25">
          <w:rPr>
            <w:rFonts w:ascii="Times New Roman" w:hAnsi="Times New Roman" w:cs="Times New Roman"/>
            <w:color w:val="000000" w:themeColor="text1"/>
            <w:sz w:val="28"/>
            <w:szCs w:val="24"/>
          </w:rPr>
          <w:t>форме N 1-госжилинспекция</w:t>
        </w:r>
      </w:hyperlink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):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So - общая площадь жилищного фонда области, тыс. кв. м, (данные Росстата);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4"/>
        </w:rPr>
        <w:t>19.</w:t>
      </w: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Доля проверок, по итогам которых выявлены правонарушения: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Drp = Prp / P * 100, где: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Dpr - доля проверок, по которым выявлены правонарушения;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Ррг - количество проверок при проведении которых в отчетном периоде были выявлены правонарушения (данные ГЖИ Брянской области по </w:t>
      </w:r>
      <w:hyperlink r:id="rId29" w:history="1">
        <w:r w:rsidRPr="00BA3E25">
          <w:rPr>
            <w:rFonts w:ascii="Times New Roman" w:hAnsi="Times New Roman" w:cs="Times New Roman"/>
            <w:color w:val="000000" w:themeColor="text1"/>
            <w:sz w:val="28"/>
            <w:szCs w:val="24"/>
          </w:rPr>
          <w:t>форме N 1-контроль</w:t>
        </w:r>
      </w:hyperlink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"Сведения об осуществлении государственного контроля (надзора) и муниципального контроля");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Р - общее количество проверок в отчетном периоде (данные ГЖИ Брянской области по </w:t>
      </w:r>
      <w:hyperlink r:id="rId30" w:history="1">
        <w:r w:rsidRPr="00BA3E25">
          <w:rPr>
            <w:rFonts w:ascii="Times New Roman" w:hAnsi="Times New Roman" w:cs="Times New Roman"/>
            <w:color w:val="000000" w:themeColor="text1"/>
            <w:sz w:val="28"/>
            <w:szCs w:val="24"/>
          </w:rPr>
          <w:t>форме N 1-контроль</w:t>
        </w:r>
      </w:hyperlink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"Сведения об осуществлении государственного контроля (надзора) и муниципального контроля");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20. </w:t>
      </w: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Доля проверок, результаты которых признаны недействительными, от общего числа проведенных проверок: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Dn = Pn / P * 100, где: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Dn - доля проверок, результаты которых признаны недействительными, от общего числа проведенных проверок, %;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Рп - количество проверок в отчетном периоде, признанных недействительными (данные ГЖИ Брянской области по </w:t>
      </w:r>
      <w:hyperlink r:id="rId31" w:history="1">
        <w:r w:rsidRPr="00BA3E25">
          <w:rPr>
            <w:rFonts w:ascii="Times New Roman" w:hAnsi="Times New Roman" w:cs="Times New Roman"/>
            <w:color w:val="000000" w:themeColor="text1"/>
            <w:sz w:val="28"/>
            <w:szCs w:val="24"/>
          </w:rPr>
          <w:t>форме N 1-контроль</w:t>
        </w:r>
      </w:hyperlink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"Сведения об осуществлении государственного контроля (надзора) и муниципального контроля");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Р - общее количество проверок в отчетном периоде (данные ГЖИ Брянской области по </w:t>
      </w:r>
      <w:hyperlink r:id="rId32" w:history="1">
        <w:r w:rsidRPr="00BA3E25">
          <w:rPr>
            <w:rFonts w:ascii="Times New Roman" w:hAnsi="Times New Roman" w:cs="Times New Roman"/>
            <w:color w:val="000000" w:themeColor="text1"/>
            <w:sz w:val="28"/>
            <w:szCs w:val="24"/>
          </w:rPr>
          <w:t>форме N 1-контроль</w:t>
        </w:r>
      </w:hyperlink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"Сведения об осуществлении государственного контроля (надзора) и муниципального контроля").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Расчетные данные для показателей (индикаторов) государственной жилищной инспекции публикуются на официальном сайте государственной жилищной инспекции Брянской области: </w:t>
      </w:r>
      <w:hyperlink r:id="rId33" w:history="1">
        <w:r w:rsidRPr="00BA3E25">
          <w:rPr>
            <w:rFonts w:ascii="Times New Roman" w:hAnsi="Times New Roman" w:cs="Times New Roman"/>
            <w:color w:val="000000" w:themeColor="text1"/>
            <w:sz w:val="28"/>
            <w:szCs w:val="24"/>
          </w:rPr>
          <w:t>http://gzhi32.ru</w:t>
        </w:r>
      </w:hyperlink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.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21. </w:t>
      </w: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Показатель "Оснащение приборами учета энергоресурсов государственных (муниципальных) организаций" определяется по формуле: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A=Na / Nобщ. * 100, где: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А - показатель, характеризующий оснащенность приборами учета энергоресурсов государственных (муниципальных) организаций;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Na - количество приборов учета энергоресурсов, установленных в государственных (муниципальных) организациях;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Nобщ. - общее количество приборов учета, подлежащих установке в государственных (муниципальных) организациях.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22. </w:t>
      </w: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Сведения о показателе "Количество граждан, расселенных из </w:t>
      </w: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lastRenderedPageBreak/>
        <w:t>непригодного для проживания жилищного фонда" размещаются в общероссийской электронной системе "Реформа ЖКХ".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bookmarkStart w:id="23" w:name="sub_30120"/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23. </w:t>
      </w:r>
      <w:bookmarkStart w:id="24" w:name="sub_30118"/>
      <w:bookmarkEnd w:id="23"/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Сведения о показателе "Количество расселенного непригодного для проживания жилищного фонда" размещаются в общероссийской электронной системе "Реформа ЖКХ".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bookmarkStart w:id="25" w:name="sub_30119"/>
      <w:bookmarkEnd w:id="24"/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24. </w:t>
      </w: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"Доля городского населения Брянской области, обеспеченного качественной питьевой водой из систем централизованного водоснабжения"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Целевой показатель рас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с</w:t>
      </w: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читывается в соответствии с данными Управления Федеральной службы по надзору в сфере защиты прав потребителей и благополучия человека по Брянской области.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</w:t>
      </w:r>
      <w:bookmarkEnd w:id="25"/>
      <w:r>
        <w:rPr>
          <w:rFonts w:ascii="Times New Roman" w:hAnsi="Times New Roman" w:cs="Times New Roman"/>
          <w:color w:val="000000" w:themeColor="text1"/>
          <w:sz w:val="28"/>
          <w:szCs w:val="24"/>
        </w:rPr>
        <w:t>25.</w:t>
      </w:r>
      <w:bookmarkStart w:id="26" w:name="sub_30126"/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«</w:t>
      </w: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Доля населения Брянской области, обеспеченного качественной питьевой водой из систем централизованного водоснабжения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»</w:t>
      </w: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:</w:t>
      </w:r>
    </w:p>
    <w:bookmarkEnd w:id="26"/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Целевой показатель рассчитан для Брянской области Минстроем России в </w:t>
      </w:r>
      <w:hyperlink r:id="rId34" w:history="1">
        <w:r w:rsidRPr="00BA3E25">
          <w:rPr>
            <w:rFonts w:ascii="Times New Roman" w:hAnsi="Times New Roman" w:cs="Times New Roman"/>
            <w:color w:val="000000" w:themeColor="text1"/>
            <w:sz w:val="28"/>
            <w:szCs w:val="24"/>
          </w:rPr>
          <w:t>Приложении 2</w:t>
        </w:r>
      </w:hyperlink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к проекту паспорта федерального проекта "Чистая вода", фактические значения будут определяться на основании сведений, представленных Управлением Федеральной службы по надзору в сфере защиты прав потребителей и благополучия человека по Брянской области.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bookmarkStart w:id="27" w:name="sub_30128"/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26. Показатель "Доля населения, имеющего доступ к централизованным сетям водоснабжения" определяется на основании данных статистического бюллетеня "Сведения о работе жилищно-коммунальных организаций в условиях реформы по Брянской области" и статистического сборника "Жилищно-коммунальное хозяйство Брянской области" по следующей формуле:</w:t>
      </w:r>
    </w:p>
    <w:bookmarkEnd w:id="27"/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D = Чцентр. / Ч об. * 100, где: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D - доля населения, имеющего доступ к централизованным сетям водоснабжения, %;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Чцентр.- численность населения, имеющего доступ к централизованным сетям водоснабжения, чел.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Ч об. - численность населения Брянской области.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bookmarkStart w:id="28" w:name="sub_30129"/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27. Показатель "Доля уличной водопроводной сети, нуждающейся в замене" определяется на основании данных статистического сборника "Жилищно-коммунальное хозяйство Брянской области" по следующей формуле:</w:t>
      </w:r>
    </w:p>
    <w:bookmarkEnd w:id="28"/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D = Пзам. / Побщ. * 100, где: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D - доля уличной водопроводной сети, нуждающейся в замене, %;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Пзам. - протяженность уличной водопроводной сети, нуждающейся в замене, км;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Побщ - общая протяженность уличной водопроводной сети.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bookmarkStart w:id="29" w:name="sub_30130"/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28. Доля построенных (реконструируемых) объектов очистных сооружений в общем объеме запланированных к строительству (реконструкции) объектов очистных сооружений (за счет средств субсидии, </w:t>
      </w: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lastRenderedPageBreak/>
        <w:t>выделяемой в текущем финансовом году), определяется по формуле:</w:t>
      </w:r>
    </w:p>
    <w:bookmarkEnd w:id="29"/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D = Кпостр(рек) / Кплан * 100, где: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D - доля построенных (реконструируемых) объектов очистных сооружений в общем объеме запланированных к строительству (реконструкции) объектов очистных сооружений (за счет средств субсидии, выделяемой в текущем финансовом году);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Кпостр.(рек) - количество построенных (реконструируемых) объектов очистных сооружений;</w:t>
      </w:r>
    </w:p>
    <w:p w:rsidR="00984671" w:rsidRPr="00BA3E25" w:rsidRDefault="00984671" w:rsidP="009846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BA3E25">
        <w:rPr>
          <w:rFonts w:ascii="Times New Roman" w:hAnsi="Times New Roman" w:cs="Times New Roman"/>
          <w:color w:val="000000" w:themeColor="text1"/>
          <w:sz w:val="28"/>
          <w:szCs w:val="24"/>
        </w:rPr>
        <w:t>Кплан - общее количество запланированных к строительству (реконструкции) объектов очистных сооружений (за счет средств субсидии, выделяемой в текущем финансовом году).</w:t>
      </w:r>
    </w:p>
    <w:p w:rsidR="00F41723" w:rsidRDefault="00F41723"/>
    <w:sectPr w:rsidR="00F41723" w:rsidSect="002A04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A38" w:rsidRDefault="003C2A38" w:rsidP="003C2A38">
      <w:pPr>
        <w:spacing w:after="0" w:line="240" w:lineRule="auto"/>
      </w:pPr>
      <w:r>
        <w:separator/>
      </w:r>
    </w:p>
  </w:endnote>
  <w:endnote w:type="continuationSeparator" w:id="0">
    <w:p w:rsidR="003C2A38" w:rsidRDefault="003C2A38" w:rsidP="003C2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A38" w:rsidRDefault="003C2A38" w:rsidP="003C2A38">
      <w:pPr>
        <w:spacing w:after="0" w:line="240" w:lineRule="auto"/>
      </w:pPr>
      <w:r>
        <w:separator/>
      </w:r>
    </w:p>
  </w:footnote>
  <w:footnote w:type="continuationSeparator" w:id="0">
    <w:p w:rsidR="003C2A38" w:rsidRDefault="003C2A38" w:rsidP="003C2A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32210B"/>
    <w:multiLevelType w:val="hybridMultilevel"/>
    <w:tmpl w:val="B308D27A"/>
    <w:lvl w:ilvl="0" w:tplc="5EF091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671"/>
    <w:rsid w:val="003C2A38"/>
    <w:rsid w:val="00984671"/>
    <w:rsid w:val="00AA058A"/>
    <w:rsid w:val="00B90E7F"/>
    <w:rsid w:val="00D30F3A"/>
    <w:rsid w:val="00DC3C9F"/>
    <w:rsid w:val="00F41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467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4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46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467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4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46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internet.garant.ru/document/redirect/70246150/0" TargetMode="External"/><Relationship Id="rId18" Type="http://schemas.openxmlformats.org/officeDocument/2006/relationships/hyperlink" Target="http://internet.garant.ru/document/redirect/186671/0" TargetMode="External"/><Relationship Id="rId26" Type="http://schemas.openxmlformats.org/officeDocument/2006/relationships/hyperlink" Target="http://internet.garant.ru/document/redirect/12119421/200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internet.garant.ru/document/redirect/24315145/10000" TargetMode="External"/><Relationship Id="rId34" Type="http://schemas.openxmlformats.org/officeDocument/2006/relationships/hyperlink" Target="http://internet.garant.ru/document/redirect/72727218/2000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internet.garant.ru/document/redirect/187740/0" TargetMode="External"/><Relationship Id="rId17" Type="http://schemas.openxmlformats.org/officeDocument/2006/relationships/hyperlink" Target="http://internet.garant.ru/document/redirect/186671/1000" TargetMode="External"/><Relationship Id="rId25" Type="http://schemas.openxmlformats.org/officeDocument/2006/relationships/hyperlink" Target="http://internet.garant.ru/document/redirect/12119421/2000" TargetMode="External"/><Relationship Id="rId33" Type="http://schemas.openxmlformats.org/officeDocument/2006/relationships/hyperlink" Target="http://internet.garant.ru/document/redirect/24399799/490" TargetMode="External"/><Relationship Id="rId2" Type="http://schemas.openxmlformats.org/officeDocument/2006/relationships/styles" Target="styles.xml"/><Relationship Id="rId16" Type="http://schemas.openxmlformats.org/officeDocument/2006/relationships/hyperlink" Target="http://internet.garant.ru/document/redirect/71792554/0" TargetMode="External"/><Relationship Id="rId20" Type="http://schemas.openxmlformats.org/officeDocument/2006/relationships/hyperlink" Target="http://internet.garant.ru/document/redirect/24315145/10000" TargetMode="External"/><Relationship Id="rId29" Type="http://schemas.openxmlformats.org/officeDocument/2006/relationships/hyperlink" Target="http://internet.garant.ru/document/redirect/70111676/4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/redirect/187740/4000" TargetMode="External"/><Relationship Id="rId24" Type="http://schemas.openxmlformats.org/officeDocument/2006/relationships/hyperlink" Target="http://internet.garant.ru/document/redirect/12119421/2000" TargetMode="External"/><Relationship Id="rId32" Type="http://schemas.openxmlformats.org/officeDocument/2006/relationships/hyperlink" Target="http://internet.garant.ru/document/redirect/70111676/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nternet.garant.ru/document/redirect/71792554/1000" TargetMode="External"/><Relationship Id="rId23" Type="http://schemas.openxmlformats.org/officeDocument/2006/relationships/image" Target="media/image1.emf"/><Relationship Id="rId28" Type="http://schemas.openxmlformats.org/officeDocument/2006/relationships/hyperlink" Target="http://internet.garant.ru/document/redirect/12119421/2000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internet.garant.ru/document/redirect/185656/0" TargetMode="External"/><Relationship Id="rId19" Type="http://schemas.openxmlformats.org/officeDocument/2006/relationships/hyperlink" Target="http://internet.garant.ru/document/redirect/24315145/10000" TargetMode="External"/><Relationship Id="rId31" Type="http://schemas.openxmlformats.org/officeDocument/2006/relationships/hyperlink" Target="http://internet.garant.ru/document/redirect/70111676/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71133762/0" TargetMode="External"/><Relationship Id="rId14" Type="http://schemas.openxmlformats.org/officeDocument/2006/relationships/hyperlink" Target="http://internet.garant.ru/document/redirect/70119304/0" TargetMode="External"/><Relationship Id="rId22" Type="http://schemas.openxmlformats.org/officeDocument/2006/relationships/hyperlink" Target="http://internet.garant.ru/document/redirect/42565214/1000" TargetMode="External"/><Relationship Id="rId27" Type="http://schemas.openxmlformats.org/officeDocument/2006/relationships/hyperlink" Target="http://internet.garant.ru/document/redirect/12119421/2000" TargetMode="External"/><Relationship Id="rId30" Type="http://schemas.openxmlformats.org/officeDocument/2006/relationships/hyperlink" Target="http://internet.garant.ru/document/redirect/70111676/4" TargetMode="External"/><Relationship Id="rId35" Type="http://schemas.openxmlformats.org/officeDocument/2006/relationships/fontTable" Target="fontTable.xml"/><Relationship Id="rId8" Type="http://schemas.openxmlformats.org/officeDocument/2006/relationships/hyperlink" Target="http://internet.garant.ru/document/redirect/71133762/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3091</Words>
  <Characters>17622</Characters>
  <Application>Microsoft Office Word</Application>
  <DocSecurity>4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Варульникова С.</cp:lastModifiedBy>
  <cp:revision>2</cp:revision>
  <dcterms:created xsi:type="dcterms:W3CDTF">2020-10-28T13:55:00Z</dcterms:created>
  <dcterms:modified xsi:type="dcterms:W3CDTF">2020-10-28T13:55:00Z</dcterms:modified>
</cp:coreProperties>
</file>